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6D" w:rsidRDefault="00A166E6">
      <w:pPr>
        <w:rPr>
          <w:b/>
        </w:rPr>
      </w:pPr>
      <w:r w:rsidRPr="00A166E6">
        <w:rPr>
          <w:b/>
        </w:rPr>
        <w:t>PRACTICE INSIGHT</w:t>
      </w:r>
      <w:r>
        <w:rPr>
          <w:b/>
        </w:rPr>
        <w:t xml:space="preserve"> – CHANGES TO THE NFP REPORTING MODEL</w:t>
      </w:r>
    </w:p>
    <w:p w:rsidR="00A166E6" w:rsidRDefault="00A166E6" w:rsidP="00A166E6">
      <w:r w:rsidRPr="00A166E6">
        <w:t>On August 18, 2016, the FASB issued Accounting Standards Update 2016</w:t>
      </w:r>
      <w:r>
        <w:t>-</w:t>
      </w:r>
      <w:r w:rsidRPr="00A166E6">
        <w:t>14,</w:t>
      </w:r>
      <w:r>
        <w:t xml:space="preserve"> </w:t>
      </w:r>
      <w:r w:rsidRPr="00A166E6">
        <w:t>Presentation of Financial Statements for Not</w:t>
      </w:r>
      <w:r>
        <w:t>-</w:t>
      </w:r>
      <w:r w:rsidRPr="00A166E6">
        <w:t>for</w:t>
      </w:r>
      <w:r>
        <w:t>-</w:t>
      </w:r>
      <w:r w:rsidRPr="00A166E6">
        <w:t>Profit</w:t>
      </w:r>
      <w:r>
        <w:t xml:space="preserve"> </w:t>
      </w:r>
      <w:r w:rsidRPr="00A166E6">
        <w:t>Entities, which</w:t>
      </w:r>
      <w:r>
        <w:t xml:space="preserve"> </w:t>
      </w:r>
      <w:r w:rsidRPr="00A166E6">
        <w:t xml:space="preserve">makes </w:t>
      </w:r>
      <w:r>
        <w:t xml:space="preserve">a number of </w:t>
      </w:r>
      <w:r w:rsidRPr="00A166E6">
        <w:t>improvements to the not</w:t>
      </w:r>
      <w:r>
        <w:t>-</w:t>
      </w:r>
      <w:r w:rsidRPr="00A166E6">
        <w:t>for</w:t>
      </w:r>
      <w:r>
        <w:t>-</w:t>
      </w:r>
      <w:r w:rsidRPr="00A166E6">
        <w:t>profit</w:t>
      </w:r>
      <w:r>
        <w:t xml:space="preserve"> </w:t>
      </w:r>
      <w:r w:rsidRPr="00A166E6">
        <w:t>financial reporting model.</w:t>
      </w:r>
      <w:r>
        <w:t xml:space="preserve"> </w:t>
      </w:r>
      <w:r w:rsidRPr="00A166E6">
        <w:t>Under the new ASU</w:t>
      </w:r>
    </w:p>
    <w:p w:rsidR="00A166E6" w:rsidRDefault="00A166E6" w:rsidP="00EB46ED">
      <w:pPr>
        <w:pStyle w:val="ListParagraph"/>
        <w:numPr>
          <w:ilvl w:val="0"/>
          <w:numId w:val="1"/>
        </w:numPr>
      </w:pPr>
      <w:r>
        <w:t>The existing</w:t>
      </w:r>
      <w:r>
        <w:t xml:space="preserve"> </w:t>
      </w:r>
      <w:r>
        <w:t>three</w:t>
      </w:r>
      <w:r>
        <w:t xml:space="preserve"> </w:t>
      </w:r>
      <w:r>
        <w:t>category</w:t>
      </w:r>
      <w:r>
        <w:t xml:space="preserve"> </w:t>
      </w:r>
      <w:r>
        <w:t>classification of net assets (i.e., unrestricted, temporarily restricted, and</w:t>
      </w:r>
      <w:r>
        <w:t xml:space="preserve"> </w:t>
      </w:r>
      <w:r>
        <w:t>permanently restricted) will be replaced with a simplified model that combines</w:t>
      </w:r>
      <w:r>
        <w:t xml:space="preserve"> </w:t>
      </w:r>
      <w:r>
        <w:t>temporarily restricted and permanently restricted into a single category called “net assets</w:t>
      </w:r>
      <w:r>
        <w:t xml:space="preserve"> </w:t>
      </w:r>
      <w:r>
        <w:t>with donor restrictions.”</w:t>
      </w:r>
    </w:p>
    <w:p w:rsidR="00A166E6" w:rsidRDefault="00A166E6" w:rsidP="00F447EF">
      <w:pPr>
        <w:pStyle w:val="ListParagraph"/>
        <w:numPr>
          <w:ilvl w:val="0"/>
          <w:numId w:val="1"/>
        </w:numPr>
      </w:pPr>
      <w:r>
        <w:t>NFPs will continue to have flexibility to decide whether to report an operating subtotal</w:t>
      </w:r>
      <w:r>
        <w:t xml:space="preserve"> </w:t>
      </w:r>
      <w:r>
        <w:t>and if so, to define</w:t>
      </w:r>
      <w:r>
        <w:t xml:space="preserve"> </w:t>
      </w:r>
      <w:r>
        <w:t>what is included or excluded.</w:t>
      </w:r>
    </w:p>
    <w:p w:rsidR="00A166E6" w:rsidRDefault="00A166E6" w:rsidP="00634389">
      <w:pPr>
        <w:pStyle w:val="ListParagraph"/>
        <w:numPr>
          <w:ilvl w:val="0"/>
          <w:numId w:val="1"/>
        </w:numPr>
      </w:pPr>
      <w:r>
        <w:t>The ASU imposes several new requirements related to reporting expenses. In addition to</w:t>
      </w:r>
      <w:r>
        <w:t xml:space="preserve"> </w:t>
      </w:r>
      <w:r>
        <w:t>reporting expenses by functional classifications (i.e., programs and supporting activities)</w:t>
      </w:r>
      <w:r>
        <w:t xml:space="preserve"> </w:t>
      </w:r>
      <w:r>
        <w:t>as is required today, NFPs will be required to provide information about expenses by</w:t>
      </w:r>
      <w:r>
        <w:t xml:space="preserve"> </w:t>
      </w:r>
      <w:r>
        <w:t>their nature.</w:t>
      </w:r>
    </w:p>
    <w:p w:rsidR="00A166E6" w:rsidRDefault="00A166E6" w:rsidP="006D321D">
      <w:pPr>
        <w:pStyle w:val="ListParagraph"/>
        <w:numPr>
          <w:ilvl w:val="0"/>
          <w:numId w:val="1"/>
        </w:numPr>
      </w:pPr>
      <w:r>
        <w:t>Investment return will continue to be presented net of investment expenses. However,</w:t>
      </w:r>
      <w:r>
        <w:t xml:space="preserve"> </w:t>
      </w:r>
      <w:r>
        <w:t>the expenses that can be netted will be limited to “external investment expenses and</w:t>
      </w:r>
      <w:r>
        <w:t xml:space="preserve"> </w:t>
      </w:r>
      <w:r>
        <w:t>direct internal investment expenses,” which is narrower than what is permitted today.</w:t>
      </w:r>
    </w:p>
    <w:p w:rsidR="00A166E6" w:rsidRPr="00A166E6" w:rsidRDefault="00A166E6" w:rsidP="00A166E6">
      <w:r>
        <w:t>The ASU is effective for fiscal years beginning after December 15, 2017 and interim</w:t>
      </w:r>
      <w:r>
        <w:t xml:space="preserve"> </w:t>
      </w:r>
      <w:r>
        <w:t>periods within fiscal years beginning after December 15, 2018. Early adoption is</w:t>
      </w:r>
      <w:r>
        <w:t xml:space="preserve"> </w:t>
      </w:r>
      <w:r>
        <w:t>permitted, but only for an annual fiscal period or for the first interim period within the</w:t>
      </w:r>
      <w:r>
        <w:t xml:space="preserve"> </w:t>
      </w:r>
      <w:bookmarkStart w:id="0" w:name="_GoBack"/>
      <w:bookmarkEnd w:id="0"/>
      <w:r>
        <w:t>year of adoption.</w:t>
      </w:r>
    </w:p>
    <w:p w:rsidR="00A166E6" w:rsidRPr="00A166E6" w:rsidRDefault="00A166E6">
      <w:pPr>
        <w:rPr>
          <w:b/>
        </w:rPr>
      </w:pPr>
    </w:p>
    <w:sectPr w:rsidR="00A166E6" w:rsidRPr="00A166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FF4306"/>
    <w:multiLevelType w:val="hybridMultilevel"/>
    <w:tmpl w:val="ED0A2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E6"/>
    <w:rsid w:val="0050106D"/>
    <w:rsid w:val="00A1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CC84C"/>
  <w15:chartTrackingRefBased/>
  <w15:docId w15:val="{AED6271C-AE47-4815-8D49-DBA18A8A3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Halsey, Robert</dc:creator>
  <cp:keywords/>
  <dc:description/>
  <cp:lastModifiedBy> </cp:lastModifiedBy>
  <cp:revision>1</cp:revision>
  <dcterms:created xsi:type="dcterms:W3CDTF">2017-04-17T17:01:00Z</dcterms:created>
  <dcterms:modified xsi:type="dcterms:W3CDTF">2017-04-17T17:10:00Z</dcterms:modified>
</cp:coreProperties>
</file>